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94" w:lineRule="exact"/>
        <w:ind w:left="0" w:right="0" w:firstLine="616" w:firstLineChars="200"/>
        <w:jc w:val="both"/>
        <w:rPr>
          <w:rFonts w:hint="default" w:ascii="Times New Roman" w:hAnsi="Times New Roman" w:eastAsia="方正黑体_GBK" w:cs="方正黑体_GBK"/>
          <w:spacing w:val="4"/>
          <w:kern w:val="2"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spacing w:val="4"/>
          <w:kern w:val="2"/>
          <w:sz w:val="30"/>
          <w:szCs w:val="30"/>
          <w:lang w:val="en-US" w:eastAsia="zh-CN" w:bidi="ar"/>
        </w:rPr>
        <w:t>【政协提案范例】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_GBK" w:cs="宋体"/>
          <w:kern w:val="2"/>
          <w:sz w:val="30"/>
          <w:szCs w:val="30"/>
        </w:rPr>
      </w:pPr>
      <w:r>
        <w:rPr>
          <w:rFonts w:hint="default" w:ascii="Times New Roman" w:hAnsi="Times New Roman" w:eastAsia="方正仿宋_GBK" w:cs="宋体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94" w:lineRule="exact"/>
        <w:ind w:left="0" w:right="0" w:firstLine="0" w:firstLineChars="0"/>
        <w:jc w:val="center"/>
        <w:rPr>
          <w:rFonts w:hint="default" w:ascii="Times New Roman" w:hAnsi="Times New Roman" w:eastAsia="方正小标宋_GBK" w:cs="宋体"/>
          <w:spacing w:val="4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4"/>
          <w:kern w:val="2"/>
          <w:sz w:val="44"/>
          <w:szCs w:val="44"/>
          <w:lang w:val="en-US" w:eastAsia="zh-CN" w:bidi="ar"/>
        </w:rPr>
        <w:t>全国政协十三届二次会议第</w:t>
      </w:r>
      <w:r>
        <w:rPr>
          <w:rFonts w:hint="default" w:ascii="Times New Roman" w:hAnsi="Times New Roman" w:eastAsia="方正小标宋_GBK" w:cs="Times New Roman"/>
          <w:spacing w:val="4"/>
          <w:kern w:val="2"/>
          <w:sz w:val="44"/>
          <w:szCs w:val="44"/>
          <w:lang w:val="en-US" w:eastAsia="zh-CN" w:bidi="ar"/>
        </w:rPr>
        <w:t>0026</w:t>
      </w:r>
      <w:r>
        <w:rPr>
          <w:rFonts w:hint="eastAsia" w:ascii="Times New Roman" w:hAnsi="Times New Roman" w:eastAsia="方正小标宋_GBK" w:cs="方正小标宋_GBK"/>
          <w:spacing w:val="4"/>
          <w:kern w:val="2"/>
          <w:sz w:val="44"/>
          <w:szCs w:val="44"/>
          <w:lang w:val="en-US" w:eastAsia="zh-CN" w:bidi="ar"/>
        </w:rPr>
        <w:t>号提案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eastAsia="方正仿宋_GBK" w:cs="宋体"/>
          <w:kern w:val="2"/>
          <w:sz w:val="30"/>
          <w:szCs w:val="30"/>
        </w:rPr>
      </w:pPr>
      <w:r>
        <w:rPr>
          <w:rFonts w:hint="default" w:ascii="Times New Roman" w:hAnsi="Times New Roman" w:eastAsia="方正仿宋_GBK" w:cs="宋体"/>
          <w:kern w:val="2"/>
          <w:sz w:val="30"/>
          <w:szCs w:val="30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题</w:t>
      </w:r>
      <w:r>
        <w:rPr>
          <w:rFonts w:hint="eastAsia" w:ascii="Times New Roman" w:hAnsi="Times New Roman" w:eastAsia="方正黑体_GBK" w:cs="宋体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目：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关于推进京津冀基本公共服务均等化的提案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主</w:t>
      </w:r>
      <w:r>
        <w:rPr>
          <w:rFonts w:hint="eastAsia" w:ascii="Times New Roman" w:hAnsi="Times New Roman" w:eastAsia="方正黑体_GBK" w:cs="宋体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办：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国家发展改革委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会</w:t>
      </w:r>
      <w:r>
        <w:rPr>
          <w:rFonts w:hint="eastAsia" w:ascii="Times New Roman" w:hAnsi="Times New Roman" w:eastAsia="方正黑体_GBK" w:cs="宋体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办：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教育部、财政部、国家卫生健康委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提</w:t>
      </w:r>
      <w:r>
        <w:rPr>
          <w:rFonts w:hint="eastAsia" w:ascii="Times New Roman" w:hAnsi="Times New Roman" w:eastAsia="方正黑体_GBK" w:cs="宋体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案</w:t>
      </w:r>
      <w:r>
        <w:rPr>
          <w:rFonts w:hint="eastAsia" w:ascii="Times New Roman" w:hAnsi="Times New Roman" w:eastAsia="方正黑体_GBK" w:cs="宋体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形</w:t>
      </w:r>
      <w:r>
        <w:rPr>
          <w:rFonts w:hint="eastAsia" w:ascii="Times New Roman" w:hAnsi="Times New Roman" w:eastAsia="方正黑体_GBK" w:cs="宋体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式：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党派提案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第一提案人：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九三学社中央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黑体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内</w:t>
      </w:r>
      <w:r>
        <w:rPr>
          <w:rFonts w:hint="eastAsia" w:ascii="Times New Roman" w:hAnsi="Times New Roman" w:eastAsia="方正黑体_GBK" w:cs="宋体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近年来，京津冀三地贯彻落实《京津冀协同发展规划纲要》精神，不断加强公共服务资源的共建共享，对接合作效果较为显著。但三地之间基本公共服务水平差距仍然很大，尤其是河北与京津相比明显滞后。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一是财政投入方面。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以教育、卫生领域为例，河北省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2016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年财政用于教育、卫生领域的投入分别为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325.3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亿元、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316.4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亿元，而同期北京为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1089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亿元、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635.6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亿元，人均财政投入仅为北京的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8.6%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14.3%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二是基本公共服务指标方面。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在保基本兜底线的基本公共服务指标中，除国家有统一标准和反映覆盖水平的指标外，其他指标差距较大。例如，河北省普通小学年生均公用经费分别比京津低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965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615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元，普通初中年生均公用经费分别比京津低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865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565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元。河北城乡居民基础养老金每人每月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90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元，分别比京津低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420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171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元。河北农村居民最低生活保障每人每月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280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元，分别比京津低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520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475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三是优质公共服务方面。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人民群众需求度普遍较高的教育、卫生、文化等领域的优质公共服务差距明显。例如，河北省没有“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985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”工程和“双一流”工程院校（仅有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个一流学科），且仅有的一所“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211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”高校还在天津；高考本科录取率分别比京津低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12%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19%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；每千人拥有三甲医院的数量分别比京津低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73.9%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70%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京津冀三地在基本公共服务领域存在较大差距的原因，主要有以下几点：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一是三地经济发展不平衡。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河北经济发展水平低于京津，人均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GDP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仅为京津的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37.1%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37.2%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，居民人均可支配收入仅为京津的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37.4%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57.9%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，人均财政收入仅为京津的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16.7%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，人均一般公共预算支出仅为京津的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28.7%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36.3%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，省内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62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个扶贫开发重点县的财政收入和人均财力更是处于较低水平。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二是基本公共服务均等化成本高。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河北省地域面积分别是京津的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11.5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倍和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15.9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倍，城镇化率只有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53.3%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，公共服务供给分散，使得公共服务供给成本高，提升公共服务水平需要更多投入。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三是京津“虹吸效应”明显。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京津地区居民收入水平高，拥有大量高等院校、三甲医院、文化体育设施等优质公共服务资源，对周边地区的“虹吸效应”明显，导致河北大量高层次人才向京津聚集，公共服务水平提升缺乏人才支撑。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四是政策衔接不够。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京津冀三地的制度体系和相关政策存在较大落差，河北与京津之间、河北省内各地市之间的信息系统和标准不一，尚未建立互联互通、对接共享的信息化平台，转移过程中难以顺畅对接，区域之间要素流通不畅。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为此，建议：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一是规划先行，统筹协调。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以“普惠性、均等化、可持续”为原则，开展公共服务政策相关研究，尽快出台京津冀基本公共服务一体化规划，统筹规划京津冀区域内社会事业和公共服务资源、研究制定实施统一的设施配置、建设及服务标准，推进优质公共服务资源共建共享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二是加大公共服务领域财政投入。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加大对河北财政转移支付力度，确保基本公共服务财政支出稳步增长，新增财力优先向公共服务重点区域和薄弱环节倾斜。京津采用定向援助、对口支援、对口帮扶等多种形式，支持河北省落后地区发展基本公共服务。搭建投融资平台，鼓励和支持社会投资进入公共服务领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三是加大京津优质公共服务资源向河北转移的力度。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结合北京非首都功能转移，加强雄安新区与京津公共服务领域全方位深度合作，将京津优质教育、医疗、卫生、养老机构等优先向雄安新区及河北省其他地区转移、建立分支机构或整体搬迁。鼓励河北省与京津交界的三河、大厂、香河、固安、永清、广阳、涿州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县（市区）高标准对标京津、加强交界地区养老机构建设，协调北京养老政策外延；推动医疗机构优先纳入跨省异地就医直接结算平台，提高医保管理服务水平。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Times New Roman" w:hAnsi="Times New Roman" w:eastAsia="方正仿宋_GBK" w:cs="宋体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备注：提案范例选自《把握人民的意愿—政协第十三届全国委员会提案及办理复文选》（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2019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年卷，中国文史出版社）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/>
          <w:lang w:val="en-US" w:eastAsia="zh-CN"/>
        </w:rPr>
      </w:pPr>
    </w:p>
    <w:p/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46C62CE-ADAB-4999-80F2-24C4F559BC3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FE33D7-A2F5-4602-B09D-0CB8DD6237D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4F217B-272C-4895-B6AF-60F6762C0DB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656657-CF78-4F6A-B166-2428E57148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ZkODM3ODc2ZjUyZGMyZjdhNDBkZWNmZTdmZmQifQ=="/>
  </w:docVars>
  <w:rsids>
    <w:rsidRoot w:val="12AE4004"/>
    <w:rsid w:val="12A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spacing w:line="560" w:lineRule="exact"/>
      <w:ind w:firstLine="7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2023-06-05T10:27:00Z</dcterms:created>
  <dc:creator>椰菠味薯片</dc:creator>
  <cp:lastModifiedBy>椰菠味薯片</cp:lastModifiedBy>
  <dcterms:modified xsi:type="dcterms:W3CDTF">2023-06-05T10:49:51Z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757293DBD59C489F85BB5A513C814FB6_11</vt:lpwstr>
  </property>
</Properties>
</file>